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A6C4" w14:textId="634A8227" w:rsidR="00F02914" w:rsidRDefault="000E6968" w:rsidP="00A6074F">
      <w:r>
        <w:t>Änderungsanträge Traktandum Versammlungsordnung</w:t>
      </w:r>
    </w:p>
    <w:p w14:paraId="7EC35D1C" w14:textId="77777777" w:rsidR="004F12A2" w:rsidRDefault="004F12A2" w:rsidP="00A6074F"/>
    <w:p w14:paraId="05D9DE1C" w14:textId="2EA96449" w:rsidR="004F12A2" w:rsidRPr="00EA2D66" w:rsidRDefault="00A6074F" w:rsidP="004F12A2">
      <w:pPr>
        <w:ind w:left="705" w:hanging="705"/>
        <w:rPr>
          <w:b/>
          <w:bCs/>
        </w:rPr>
      </w:pPr>
      <w:r w:rsidRPr="00EA2D66">
        <w:rPr>
          <w:b/>
          <w:bCs/>
        </w:rPr>
        <w:t>1</w:t>
      </w:r>
      <w:r w:rsidR="004F12A2" w:rsidRPr="00EA2D66">
        <w:rPr>
          <w:b/>
          <w:bCs/>
        </w:rPr>
        <w:t>. Straffungen des Textes</w:t>
      </w:r>
    </w:p>
    <w:p w14:paraId="7ECD69E0" w14:textId="033F0ED5" w:rsidR="004F12A2" w:rsidRDefault="00A6074F" w:rsidP="004F12A2">
      <w:pPr>
        <w:ind w:left="705" w:hanging="705"/>
      </w:pPr>
      <w:r w:rsidRPr="00254B09">
        <w:rPr>
          <w:b/>
          <w:bCs/>
        </w:rPr>
        <w:t>Begründung:</w:t>
      </w:r>
      <w:r>
        <w:t xml:space="preserve"> Der Text ist teilweise unnötig aufgebläht oder redundant</w:t>
      </w:r>
    </w:p>
    <w:p w14:paraId="571354CE" w14:textId="77777777" w:rsidR="00B06F14" w:rsidRDefault="00B06F14" w:rsidP="004F12A2">
      <w:pPr>
        <w:ind w:left="705" w:hanging="705"/>
      </w:pPr>
    </w:p>
    <w:p w14:paraId="317A4831" w14:textId="39651661" w:rsidR="00A6074F" w:rsidRDefault="00A6074F" w:rsidP="00A6074F">
      <w:r>
        <w:t>Streichung Art. 2; Akkreditierung in Art. 1 Abs. 1 (und daraus resultierend Anpassung der Artikelnummern 2ff.).</w:t>
      </w:r>
    </w:p>
    <w:p w14:paraId="41DF7B0F" w14:textId="77777777" w:rsidR="00B06F14" w:rsidRDefault="00B06F14" w:rsidP="00A6074F"/>
    <w:p w14:paraId="3B3054D8" w14:textId="77777777" w:rsidR="00A6074F" w:rsidRDefault="00A6074F" w:rsidP="00A6074F">
      <w:r>
        <w:t>Art. 1 Rechte und Pflichten</w:t>
      </w:r>
    </w:p>
    <w:p w14:paraId="0B742F14" w14:textId="04BA89A4" w:rsidR="00A6074F" w:rsidRDefault="00A6074F" w:rsidP="00A6074F">
      <w:pPr>
        <w:pBdr>
          <w:bottom w:val="single" w:sz="6" w:space="1" w:color="auto"/>
        </w:pBdr>
        <w:ind w:left="705" w:hanging="705"/>
      </w:pPr>
      <w:r>
        <w:t>1</w:t>
      </w:r>
      <w:r>
        <w:tab/>
        <w:t>Um sein Stimmrecht auszuüben, muss sich der Pirat akkreditieren lassen. Die Akkreditierung erfolgt durch Vorlage eines Ausweises oder aufgrund der Bekanntheit.</w:t>
      </w:r>
    </w:p>
    <w:p w14:paraId="3EB1F03B" w14:textId="77777777" w:rsidR="00EA2D66" w:rsidRDefault="00EA2D66" w:rsidP="004F12A2">
      <w:pPr>
        <w:ind w:left="705" w:hanging="705"/>
      </w:pPr>
    </w:p>
    <w:p w14:paraId="76D38CFC" w14:textId="2074DF94" w:rsidR="004F12A2" w:rsidRDefault="004F12A2" w:rsidP="004F12A2">
      <w:pPr>
        <w:ind w:left="705" w:hanging="705"/>
      </w:pPr>
      <w:r>
        <w:t>Vorher:</w:t>
      </w:r>
    </w:p>
    <w:p w14:paraId="143C86D4" w14:textId="76813CB6" w:rsidR="004F12A2" w:rsidRDefault="004F12A2" w:rsidP="004F12A2">
      <w:pPr>
        <w:ind w:left="705" w:hanging="705"/>
      </w:pPr>
      <w:r>
        <w:t xml:space="preserve">Art. 1 </w:t>
      </w:r>
    </w:p>
    <w:p w14:paraId="2734AA99" w14:textId="77777777" w:rsidR="004F12A2" w:rsidRDefault="004F12A2" w:rsidP="004F12A2">
      <w:r>
        <w:t>3</w:t>
      </w:r>
      <w:r>
        <w:tab/>
        <w:t>Wenn eine Person die Durchführung einer Debatte, Wahl oder Abstimmung grob</w:t>
      </w:r>
    </w:p>
    <w:p w14:paraId="2B52EC01" w14:textId="3880D94D" w:rsidR="004F12A2" w:rsidRDefault="004F12A2" w:rsidP="00C42328">
      <w:pPr>
        <w:ind w:left="705"/>
      </w:pPr>
      <w:r>
        <w:t>stört, so kann die Versammlungsleitung diese Person vorübergehend von der Teilnahme ausschliessen. Bei wiederholten Verstössen kann der Ausschluss sich auf die gesamte Veranstaltung beziehen.</w:t>
      </w:r>
    </w:p>
    <w:p w14:paraId="73F16E10" w14:textId="77777777" w:rsidR="00C42328" w:rsidRDefault="00C42328" w:rsidP="004F12A2">
      <w:pPr>
        <w:ind w:left="705" w:hanging="705"/>
      </w:pPr>
    </w:p>
    <w:p w14:paraId="7423D8F1" w14:textId="421D2A6D" w:rsidR="004F12A2" w:rsidRDefault="004F12A2" w:rsidP="004F12A2">
      <w:pPr>
        <w:ind w:left="705" w:hanging="705"/>
      </w:pPr>
      <w:r>
        <w:t>Nachher:</w:t>
      </w:r>
    </w:p>
    <w:p w14:paraId="02099F2A" w14:textId="77777777" w:rsidR="004F12A2" w:rsidRDefault="004F12A2" w:rsidP="004F12A2">
      <w:r>
        <w:t xml:space="preserve">Art. 1 </w:t>
      </w:r>
    </w:p>
    <w:p w14:paraId="6F555A94" w14:textId="0BFEBAD2" w:rsidR="00C42328" w:rsidRDefault="004F12A2" w:rsidP="00A6074F">
      <w:pPr>
        <w:pBdr>
          <w:bottom w:val="single" w:sz="6" w:space="1" w:color="auto"/>
        </w:pBdr>
        <w:ind w:left="705" w:hanging="705"/>
      </w:pPr>
      <w:r>
        <w:t>3</w:t>
      </w:r>
      <w:r w:rsidR="007803D8">
        <w:tab/>
      </w:r>
      <w:bookmarkStart w:id="0" w:name="_Hlk161489812"/>
      <w:r>
        <w:t>Wer die Durchführung der Versammlung grob stört, kann von der Versammlungsleitung vorübergehend von der Teilnahme ausgeschlossen werden. Im Wiederholungsfall kann der Ausschluss für die gesamte Veranstaltung gelten.</w:t>
      </w:r>
      <w:bookmarkEnd w:id="0"/>
    </w:p>
    <w:p w14:paraId="6ACEF409" w14:textId="77777777" w:rsidR="00EA2D66" w:rsidRDefault="00EA2D66" w:rsidP="00EA2D66"/>
    <w:p w14:paraId="3099A580" w14:textId="15FDE48D" w:rsidR="004F12A2" w:rsidRDefault="00C42328" w:rsidP="00EA2D66">
      <w:r>
        <w:t>Art. 2 (Art. 3 bisher)</w:t>
      </w:r>
      <w:r w:rsidR="00CF2045">
        <w:t xml:space="preserve"> – wird bereits in den Statuten für Statutenänderungen geregelt.</w:t>
      </w:r>
    </w:p>
    <w:p w14:paraId="542FC7B2" w14:textId="77777777" w:rsidR="00C42328" w:rsidRPr="00CF2045" w:rsidRDefault="00C42328" w:rsidP="00C42328">
      <w:pPr>
        <w:rPr>
          <w:strike/>
          <w:color w:val="FF0000"/>
        </w:rPr>
      </w:pPr>
      <w:r w:rsidRPr="00CF2045">
        <w:rPr>
          <w:strike/>
          <w:color w:val="FF0000"/>
        </w:rPr>
        <w:t>3</w:t>
      </w:r>
      <w:r w:rsidRPr="00CF2045">
        <w:rPr>
          <w:strike/>
          <w:color w:val="FF0000"/>
        </w:rPr>
        <w:tab/>
        <w:t>Sofern nicht anders bestimmt, können Anträge ein- oder mehrsprachig</w:t>
      </w:r>
    </w:p>
    <w:p w14:paraId="480CEA9B" w14:textId="77777777" w:rsidR="00C42328" w:rsidRPr="00CF2045" w:rsidRDefault="00C42328" w:rsidP="00C42328">
      <w:pPr>
        <w:pBdr>
          <w:bottom w:val="single" w:sz="6" w:space="1" w:color="auto"/>
        </w:pBdr>
        <w:rPr>
          <w:strike/>
          <w:color w:val="FF0000"/>
        </w:rPr>
      </w:pPr>
      <w:r w:rsidRPr="00CF2045">
        <w:rPr>
          <w:strike/>
          <w:color w:val="FF0000"/>
        </w:rPr>
        <w:tab/>
        <w:t>eingereicht werden. Über Übersetzungen wird nicht gesondert abgestimmt.</w:t>
      </w:r>
    </w:p>
    <w:p w14:paraId="0D505C00" w14:textId="77777777" w:rsidR="00B06F14" w:rsidRDefault="00B06F14" w:rsidP="00B06F14"/>
    <w:p w14:paraId="3FB9E091" w14:textId="53480764" w:rsidR="00B06F14" w:rsidRDefault="00B06F14" w:rsidP="00B06F14">
      <w:r>
        <w:t>Vorher:</w:t>
      </w:r>
    </w:p>
    <w:p w14:paraId="3EC80C2E" w14:textId="0EBBA86A" w:rsidR="00B06F14" w:rsidRDefault="00B06F14" w:rsidP="00B06F14">
      <w:r>
        <w:t xml:space="preserve">Art. 9 </w:t>
      </w:r>
      <w:r w:rsidR="000C600E">
        <w:t>(Art. 10 bisher)</w:t>
      </w:r>
    </w:p>
    <w:p w14:paraId="59943814" w14:textId="77777777" w:rsidR="00B06F14" w:rsidRDefault="00B06F14" w:rsidP="00B06F14">
      <w:r>
        <w:t>6</w:t>
      </w:r>
      <w:r>
        <w:tab/>
        <w:t>Die Stimmabgabe erfolgt offen, es sei denn, zuvor sei geheime Abstimmung</w:t>
      </w:r>
    </w:p>
    <w:p w14:paraId="26384F61" w14:textId="77777777" w:rsidR="00B06F14" w:rsidRDefault="00B06F14" w:rsidP="00B06F14">
      <w:r>
        <w:tab/>
        <w:t>beschlossen worden.</w:t>
      </w:r>
    </w:p>
    <w:p w14:paraId="5949F63B" w14:textId="77777777" w:rsidR="00B06F14" w:rsidRDefault="00B06F14" w:rsidP="00B06F14">
      <w:r>
        <w:t>7</w:t>
      </w:r>
      <w:r>
        <w:tab/>
        <w:t>Bei offenkundigem Ergebnis kann auf die Auszählung verzichtet werden. Jeder</w:t>
      </w:r>
    </w:p>
    <w:p w14:paraId="057825E8" w14:textId="77777777" w:rsidR="00B06F14" w:rsidRDefault="00B06F14" w:rsidP="00B06F14">
      <w:r>
        <w:tab/>
        <w:t>Stimmberechtigte kann eine Auszählung verlangen.</w:t>
      </w:r>
    </w:p>
    <w:p w14:paraId="7F3CC666" w14:textId="77777777" w:rsidR="00B06F14" w:rsidRDefault="00B06F14" w:rsidP="00B06F14"/>
    <w:p w14:paraId="4F91E358" w14:textId="170C39B6" w:rsidR="00B06F14" w:rsidRDefault="00B06F14" w:rsidP="00B06F14">
      <w:r>
        <w:t>Nachher:</w:t>
      </w:r>
    </w:p>
    <w:p w14:paraId="5ED5075D" w14:textId="0124614D" w:rsidR="00B06F14" w:rsidRDefault="00B06F14" w:rsidP="00B06F14">
      <w:r>
        <w:t xml:space="preserve">Art. 3 </w:t>
      </w:r>
      <w:r w:rsidR="000C600E">
        <w:t>(Art. 4 bisher)</w:t>
      </w:r>
    </w:p>
    <w:p w14:paraId="6830AE52" w14:textId="2935ED70" w:rsidR="00B06F14" w:rsidRDefault="00B06F14" w:rsidP="00B06F14">
      <w:pPr>
        <w:pBdr>
          <w:bottom w:val="single" w:sz="6" w:space="1" w:color="auto"/>
        </w:pBdr>
        <w:ind w:left="705" w:hanging="705"/>
        <w:rPr>
          <w:color w:val="00B050"/>
        </w:rPr>
      </w:pPr>
      <w:r>
        <w:t>1</w:t>
      </w:r>
      <w:r>
        <w:tab/>
        <w:t xml:space="preserve">Die Wahlen </w:t>
      </w:r>
      <w:r w:rsidRPr="00A6074F">
        <w:rPr>
          <w:color w:val="00B050"/>
        </w:rPr>
        <w:t xml:space="preserve">und Abstimmungen </w:t>
      </w:r>
      <w:r w:rsidRPr="00A6074F">
        <w:rPr>
          <w:strike/>
          <w:color w:val="FF0000"/>
        </w:rPr>
        <w:t>an der Versammlung</w:t>
      </w:r>
      <w:r w:rsidRPr="00A6074F">
        <w:rPr>
          <w:color w:val="FF0000"/>
        </w:rPr>
        <w:t xml:space="preserve"> </w:t>
      </w:r>
      <w:r>
        <w:t xml:space="preserve">erfolgen in der Regel offen. </w:t>
      </w:r>
      <w:r w:rsidRPr="00C42328">
        <w:rPr>
          <w:color w:val="00B050"/>
        </w:rPr>
        <w:t>Bei offenkundigem Ergebnis kann auf die Auszählung verzichtet werden.</w:t>
      </w:r>
    </w:p>
    <w:p w14:paraId="04E84CC0" w14:textId="77777777" w:rsidR="00B06F14" w:rsidRDefault="00B06F14" w:rsidP="00EA2D66"/>
    <w:p w14:paraId="60FC9011" w14:textId="3263BC94" w:rsidR="00C42328" w:rsidRDefault="00EA2D66" w:rsidP="004F12A2">
      <w:pPr>
        <w:ind w:left="705" w:hanging="705"/>
      </w:pPr>
      <w:r>
        <w:t>Vorher:</w:t>
      </w:r>
    </w:p>
    <w:p w14:paraId="605A2D1B" w14:textId="25784225" w:rsidR="00EA2D66" w:rsidRDefault="00EA2D66" w:rsidP="004F12A2">
      <w:pPr>
        <w:ind w:left="705" w:hanging="705"/>
      </w:pPr>
      <w:r>
        <w:t>Art. 5 (Art. 6 bisher)</w:t>
      </w:r>
    </w:p>
    <w:p w14:paraId="6B064CF1" w14:textId="37CD489A" w:rsidR="00EA2D66" w:rsidRDefault="00EA2D66" w:rsidP="00EA2D66">
      <w:pPr>
        <w:ind w:left="705" w:hanging="705"/>
      </w:pPr>
      <w:r>
        <w:t>5</w:t>
      </w:r>
      <w:r>
        <w:tab/>
        <w:t>Die Änderung dieser Ordnung ist während der Versammlung nur durch entsprechenden Ordnungsantrag zulässig.</w:t>
      </w:r>
    </w:p>
    <w:p w14:paraId="2C908F09" w14:textId="57A364ED" w:rsidR="00C42328" w:rsidRDefault="00EA2D66" w:rsidP="004F12A2">
      <w:pPr>
        <w:ind w:left="705" w:hanging="705"/>
      </w:pPr>
      <w:r>
        <w:t xml:space="preserve">Nachher: </w:t>
      </w:r>
    </w:p>
    <w:p w14:paraId="13ACEDE4" w14:textId="4857AD27" w:rsidR="00EA2D66" w:rsidRDefault="00947FF0" w:rsidP="00EA2D66">
      <w:pPr>
        <w:pBdr>
          <w:bottom w:val="single" w:sz="6" w:space="1" w:color="auto"/>
        </w:pBdr>
        <w:ind w:left="705" w:hanging="705"/>
      </w:pPr>
      <w:r>
        <w:t>5</w:t>
      </w:r>
      <w:r w:rsidR="00EA2D66">
        <w:tab/>
      </w:r>
      <w:bookmarkStart w:id="1" w:name="_Hlk161490026"/>
      <w:r w:rsidR="00EA2D66">
        <w:t>Eine temporäre Änderung dieser Ordnung ist durch Ordnungsantrag möglich.</w:t>
      </w:r>
      <w:bookmarkEnd w:id="1"/>
    </w:p>
    <w:p w14:paraId="75878AE3" w14:textId="77777777" w:rsidR="00EA2D66" w:rsidRDefault="00EA2D66" w:rsidP="004F12A2">
      <w:pPr>
        <w:ind w:left="705" w:hanging="705"/>
      </w:pPr>
    </w:p>
    <w:p w14:paraId="2516A738" w14:textId="77777777" w:rsidR="00CF2045" w:rsidRDefault="00CF2045" w:rsidP="004F12A2">
      <w:pPr>
        <w:ind w:left="705" w:hanging="705"/>
      </w:pPr>
    </w:p>
    <w:p w14:paraId="052E3A23" w14:textId="77777777" w:rsidR="00CF2045" w:rsidRDefault="00CF2045" w:rsidP="004F12A2">
      <w:pPr>
        <w:ind w:left="705" w:hanging="705"/>
      </w:pPr>
    </w:p>
    <w:p w14:paraId="11A5A8DB" w14:textId="77777777" w:rsidR="00CF2045" w:rsidRDefault="00CF2045" w:rsidP="004F12A2">
      <w:pPr>
        <w:ind w:left="705" w:hanging="705"/>
      </w:pPr>
    </w:p>
    <w:p w14:paraId="77722AC9" w14:textId="5978FD98" w:rsidR="007803D8" w:rsidRDefault="007803D8" w:rsidP="004F12A2">
      <w:pPr>
        <w:ind w:left="705" w:hanging="705"/>
      </w:pPr>
      <w:r>
        <w:lastRenderedPageBreak/>
        <w:t>Vorher:</w:t>
      </w:r>
    </w:p>
    <w:p w14:paraId="38DC005A" w14:textId="77F333E8" w:rsidR="00EA2D66" w:rsidRDefault="007803D8" w:rsidP="004F12A2">
      <w:pPr>
        <w:ind w:left="705" w:hanging="705"/>
      </w:pPr>
      <w:r>
        <w:t>Art. 8 Wortbegehren</w:t>
      </w:r>
    </w:p>
    <w:p w14:paraId="51CF90E9" w14:textId="77777777" w:rsidR="007803D8" w:rsidRDefault="007803D8" w:rsidP="007803D8">
      <w:r>
        <w:t>3</w:t>
      </w:r>
      <w:r>
        <w:tab/>
        <w:t>Entfernt sich ein Redner zu sehr von dem in Beratung stehenden Gegenstand, so</w:t>
      </w:r>
    </w:p>
    <w:p w14:paraId="22F72904" w14:textId="77777777" w:rsidR="007803D8" w:rsidRDefault="007803D8" w:rsidP="007803D8">
      <w:r>
        <w:tab/>
        <w:t>ermahnt ihn die Versammlungsleitung, zur Sache zu sprechen.</w:t>
      </w:r>
    </w:p>
    <w:p w14:paraId="7EED4748" w14:textId="77777777" w:rsidR="007803D8" w:rsidRDefault="007803D8" w:rsidP="007803D8">
      <w:r>
        <w:t>4</w:t>
      </w:r>
      <w:r>
        <w:tab/>
        <w:t xml:space="preserve">Missachtet ein Redner die Mahnungen und Ordnungsrufe der Versammlungsleitung so </w:t>
      </w:r>
      <w:r>
        <w:tab/>
        <w:t>entzieht ihm diese das Wort.</w:t>
      </w:r>
    </w:p>
    <w:p w14:paraId="58F533C2" w14:textId="77777777" w:rsidR="007803D8" w:rsidRDefault="007803D8" w:rsidP="004F12A2">
      <w:pPr>
        <w:ind w:left="705" w:hanging="705"/>
      </w:pPr>
    </w:p>
    <w:p w14:paraId="5515397A" w14:textId="3D83971E" w:rsidR="007803D8" w:rsidRDefault="007803D8" w:rsidP="004F12A2">
      <w:pPr>
        <w:ind w:left="705" w:hanging="705"/>
      </w:pPr>
      <w:r>
        <w:t>Nachher:</w:t>
      </w:r>
    </w:p>
    <w:p w14:paraId="01369668" w14:textId="559284E5" w:rsidR="007803D8" w:rsidRDefault="007803D8" w:rsidP="007803D8">
      <w:pPr>
        <w:pBdr>
          <w:bottom w:val="single" w:sz="6" w:space="1" w:color="auto"/>
        </w:pBdr>
        <w:ind w:left="705" w:hanging="705"/>
      </w:pPr>
      <w:bookmarkStart w:id="2" w:name="_Hlk161490069"/>
      <w:bookmarkStart w:id="3" w:name="_Hlk161490057"/>
      <w:r>
        <w:t>3</w:t>
      </w:r>
      <w:r>
        <w:tab/>
        <w:t xml:space="preserve">Die Versammlungsleitung kann Redner ermahnen oder das Wort entziehen, falls zu stark vom Thema </w:t>
      </w:r>
      <w:r w:rsidR="00CF2045">
        <w:t>abgewichen</w:t>
      </w:r>
      <w:r>
        <w:t xml:space="preserve"> wird oder nicht sachbezogene Argumente vorgetragen werden</w:t>
      </w:r>
      <w:bookmarkEnd w:id="2"/>
      <w:r>
        <w:t>.</w:t>
      </w:r>
    </w:p>
    <w:bookmarkEnd w:id="3"/>
    <w:p w14:paraId="51C0DEAA" w14:textId="77777777" w:rsidR="007803D8" w:rsidRDefault="007803D8" w:rsidP="004F12A2">
      <w:pPr>
        <w:ind w:left="705" w:hanging="705"/>
      </w:pPr>
    </w:p>
    <w:p w14:paraId="5BB036CF" w14:textId="77777777" w:rsidR="004F12A2" w:rsidRDefault="004F12A2" w:rsidP="004F12A2">
      <w:pPr>
        <w:ind w:left="705" w:hanging="705"/>
      </w:pPr>
    </w:p>
    <w:p w14:paraId="5B7C03E0" w14:textId="4BEC13B6" w:rsidR="004F12A2" w:rsidRDefault="00A8672E" w:rsidP="004F12A2">
      <w:pPr>
        <w:ind w:left="705" w:hanging="705"/>
        <w:rPr>
          <w:b/>
          <w:bCs/>
        </w:rPr>
      </w:pPr>
      <w:r w:rsidRPr="00EA2D66">
        <w:rPr>
          <w:b/>
          <w:bCs/>
        </w:rPr>
        <w:t>2</w:t>
      </w:r>
      <w:r w:rsidR="004F12A2" w:rsidRPr="00EA2D66">
        <w:rPr>
          <w:b/>
          <w:bCs/>
        </w:rPr>
        <w:t>. Fristanpassungen</w:t>
      </w:r>
      <w:r w:rsidR="00CF2045">
        <w:rPr>
          <w:b/>
          <w:bCs/>
        </w:rPr>
        <w:t xml:space="preserve"> / Vereinfachungen</w:t>
      </w:r>
    </w:p>
    <w:p w14:paraId="4046481C" w14:textId="5239CC18" w:rsidR="00254B09" w:rsidRDefault="00254B09" w:rsidP="004F12A2">
      <w:pPr>
        <w:ind w:left="705" w:hanging="705"/>
      </w:pPr>
      <w:r w:rsidRPr="00254B09">
        <w:rPr>
          <w:b/>
          <w:bCs/>
        </w:rPr>
        <w:t>Begründung:</w:t>
      </w:r>
      <w:r>
        <w:rPr>
          <w:b/>
          <w:bCs/>
        </w:rPr>
        <w:t xml:space="preserve"> </w:t>
      </w:r>
      <w:r w:rsidR="007B59A2">
        <w:t>Eine genaue Angabe der Einberufungsfrist in der Ordnung ist sinnlos, wenn dies bereits in den Statuten geregelt ist. Andere Fristen bringen dem Vorstand die nötige Zeit zur Vorbereitung.</w:t>
      </w:r>
    </w:p>
    <w:p w14:paraId="458C95E6" w14:textId="77777777" w:rsidR="00B06F14" w:rsidRPr="00254B09" w:rsidRDefault="00B06F14" w:rsidP="004F12A2">
      <w:pPr>
        <w:ind w:left="705" w:hanging="705"/>
      </w:pPr>
    </w:p>
    <w:p w14:paraId="49777730" w14:textId="0962D75B" w:rsidR="00C42328" w:rsidRDefault="00C42328" w:rsidP="004F12A2">
      <w:pPr>
        <w:ind w:left="705" w:hanging="705"/>
      </w:pPr>
      <w:r>
        <w:t>Art. 2 (Art. 3 bisher)</w:t>
      </w:r>
    </w:p>
    <w:p w14:paraId="75CBC58E" w14:textId="3F8207CB" w:rsidR="00C42328" w:rsidRDefault="00C42328" w:rsidP="00C42328">
      <w:pPr>
        <w:pBdr>
          <w:bottom w:val="single" w:sz="6" w:space="1" w:color="auto"/>
        </w:pBdr>
        <w:ind w:left="705" w:hanging="705"/>
      </w:pPr>
      <w:r>
        <w:t>2</w:t>
      </w:r>
      <w:r>
        <w:tab/>
      </w:r>
      <w:r w:rsidR="00A8672E">
        <w:t>An der Versammlung werden nur Anträge behandelt, die bis zur Frist gemäss Einladung eingereicht wurden.</w:t>
      </w:r>
    </w:p>
    <w:p w14:paraId="7837E36E" w14:textId="77777777" w:rsidR="00C42328" w:rsidRDefault="00C42328" w:rsidP="00254B09"/>
    <w:p w14:paraId="1A50636A" w14:textId="3C837EAF" w:rsidR="009905F1" w:rsidRDefault="009905F1" w:rsidP="00A8672E">
      <w:r>
        <w:t xml:space="preserve">Vorher: </w:t>
      </w:r>
    </w:p>
    <w:p w14:paraId="39BFFFA5" w14:textId="77777777" w:rsidR="00A8672E" w:rsidRDefault="00A8672E" w:rsidP="00A8672E">
      <w:r>
        <w:t>Art. 4 Dokumentation</w:t>
      </w:r>
    </w:p>
    <w:p w14:paraId="15BF3715" w14:textId="77777777" w:rsidR="00A8672E" w:rsidRDefault="00A8672E" w:rsidP="00A8672E">
      <w:pPr>
        <w:ind w:left="705" w:hanging="705"/>
      </w:pPr>
      <w:r>
        <w:t>1</w:t>
      </w:r>
      <w:r>
        <w:tab/>
        <w:t>Die Dokumentation der Versammlung, insbesondere Stimmzettel und Protokolle, werden ein Jahr aufbewahrt.</w:t>
      </w:r>
    </w:p>
    <w:p w14:paraId="1C485B87" w14:textId="77777777" w:rsidR="00A8672E" w:rsidRDefault="00A8672E" w:rsidP="00A8672E">
      <w:pPr>
        <w:ind w:left="705" w:hanging="705"/>
      </w:pPr>
    </w:p>
    <w:p w14:paraId="6F7D6CB3" w14:textId="5D0A063B" w:rsidR="00A8672E" w:rsidRDefault="00A8672E" w:rsidP="009905F1">
      <w:pPr>
        <w:ind w:left="705" w:hanging="705"/>
      </w:pPr>
      <w:r>
        <w:t xml:space="preserve">Nachher: </w:t>
      </w:r>
    </w:p>
    <w:p w14:paraId="0A9B64C9" w14:textId="4206CF6D" w:rsidR="009905F1" w:rsidRDefault="009905F1" w:rsidP="009905F1">
      <w:pPr>
        <w:ind w:left="705" w:hanging="705"/>
      </w:pPr>
      <w:r>
        <w:t>Art. 4 Dokumentation</w:t>
      </w:r>
    </w:p>
    <w:p w14:paraId="06762D18" w14:textId="0005DF16" w:rsidR="009905F1" w:rsidRDefault="009905F1" w:rsidP="009905F1">
      <w:pPr>
        <w:ind w:left="705" w:hanging="705"/>
      </w:pPr>
      <w:r>
        <w:tab/>
        <w:t>D</w:t>
      </w:r>
      <w:r w:rsidR="00A8672E">
        <w:t>as Protokoll</w:t>
      </w:r>
      <w:r>
        <w:t xml:space="preserve"> der Versammlung w</w:t>
      </w:r>
      <w:r w:rsidR="00A8672E">
        <w:t>ird</w:t>
      </w:r>
      <w:r>
        <w:t xml:space="preserve"> zeitnah online zugänglich gemacht.</w:t>
      </w:r>
    </w:p>
    <w:p w14:paraId="21746D8C" w14:textId="77777777" w:rsidR="009905F1" w:rsidRDefault="009905F1" w:rsidP="00A8672E">
      <w:pPr>
        <w:pBdr>
          <w:bottom w:val="single" w:sz="6" w:space="1" w:color="auto"/>
        </w:pBdr>
      </w:pPr>
    </w:p>
    <w:p w14:paraId="75D3A160" w14:textId="77777777" w:rsidR="00EA2D66" w:rsidRDefault="00EA2D66" w:rsidP="00EA2D66"/>
    <w:p w14:paraId="614B9896" w14:textId="7AC38FC9" w:rsidR="00EA2D66" w:rsidRDefault="00EA2D66" w:rsidP="00EA2D66">
      <w:r>
        <w:t>Vorher:</w:t>
      </w:r>
    </w:p>
    <w:p w14:paraId="00FA51A9" w14:textId="0982B12C" w:rsidR="00EA2D66" w:rsidRDefault="00EA2D66" w:rsidP="00EA2D66">
      <w:r>
        <w:t>Art. 7 Fristen</w:t>
      </w:r>
    </w:p>
    <w:p w14:paraId="1E1B73F3" w14:textId="77777777" w:rsidR="00EA2D66" w:rsidRDefault="00EA2D66" w:rsidP="00EA2D66">
      <w:r>
        <w:t>1</w:t>
      </w:r>
      <w:r>
        <w:tab/>
        <w:t>Die Versammlung wird spätestens drei Wochen vor ihrem Beginn einberufen.</w:t>
      </w:r>
    </w:p>
    <w:p w14:paraId="1E3BE38F" w14:textId="77777777" w:rsidR="00EA2D66" w:rsidRDefault="00EA2D66" w:rsidP="00EA2D66">
      <w:r>
        <w:t>2</w:t>
      </w:r>
      <w:r>
        <w:tab/>
        <w:t>Die Tagesordnung wird spätestens fünf Tage vor der Versammlung versendet.</w:t>
      </w:r>
    </w:p>
    <w:p w14:paraId="7A959F5A" w14:textId="77777777" w:rsidR="00EA2D66" w:rsidRDefault="00EA2D66" w:rsidP="00EA2D66">
      <w:r>
        <w:t>3</w:t>
      </w:r>
      <w:r>
        <w:tab/>
        <w:t>Der Versand erfolgt mit Verweis auf das Publikationsorgan.</w:t>
      </w:r>
    </w:p>
    <w:p w14:paraId="756D83BD" w14:textId="77777777" w:rsidR="00A8672E" w:rsidRDefault="00A8672E" w:rsidP="00A8672E"/>
    <w:p w14:paraId="24D73FB9" w14:textId="0110DCB7" w:rsidR="00EA2D66" w:rsidRDefault="00EA2D66" w:rsidP="00A8672E">
      <w:r>
        <w:t>Nachher:</w:t>
      </w:r>
    </w:p>
    <w:p w14:paraId="1210E841" w14:textId="77777777" w:rsidR="00EA2D66" w:rsidRDefault="00EA2D66" w:rsidP="00EA2D66">
      <w:bookmarkStart w:id="4" w:name="_Hlk161488155"/>
      <w:r>
        <w:t>Art. 7 Fristen</w:t>
      </w:r>
    </w:p>
    <w:p w14:paraId="7E555C62" w14:textId="77777777" w:rsidR="00EA2D66" w:rsidRDefault="00EA2D66" w:rsidP="00EA2D66">
      <w:r>
        <w:t>1</w:t>
      </w:r>
      <w:r>
        <w:tab/>
        <w:t>Die Versammlung wird gemäss Statuten einberufen.</w:t>
      </w:r>
    </w:p>
    <w:p w14:paraId="0D3A4E9D" w14:textId="1FD9070D" w:rsidR="00EA2D66" w:rsidRDefault="00EA2D66" w:rsidP="00EA2D66">
      <w:r>
        <w:t>2</w:t>
      </w:r>
      <w:r>
        <w:tab/>
        <w:t>Die Tagesordnung wird spätestens vier Tage vor der Versammlung kommuniziert.</w:t>
      </w:r>
    </w:p>
    <w:p w14:paraId="10E68713" w14:textId="29D196BD" w:rsidR="00EA2D66" w:rsidRDefault="00EA2D66" w:rsidP="00EA2D66">
      <w:pPr>
        <w:pBdr>
          <w:bottom w:val="single" w:sz="6" w:space="1" w:color="auto"/>
        </w:pBdr>
      </w:pPr>
      <w:bookmarkStart w:id="5" w:name="_Hlk161490255"/>
      <w:r>
        <w:t>3</w:t>
      </w:r>
      <w:r>
        <w:tab/>
      </w:r>
      <w:r w:rsidR="007803D8">
        <w:t>Der</w:t>
      </w:r>
      <w:r>
        <w:t xml:space="preserve"> Versand erfolgt mit Verweis auf das Publikationsorgan</w:t>
      </w:r>
      <w:bookmarkEnd w:id="5"/>
      <w:r>
        <w:t>.</w:t>
      </w:r>
    </w:p>
    <w:bookmarkEnd w:id="4"/>
    <w:p w14:paraId="0DD22C8F" w14:textId="77777777" w:rsidR="00254B09" w:rsidRDefault="00254B09" w:rsidP="00A8672E"/>
    <w:p w14:paraId="48554E7E" w14:textId="77777777" w:rsidR="00254B09" w:rsidRDefault="00254B09" w:rsidP="00A8672E"/>
    <w:p w14:paraId="3CF57594" w14:textId="67666AC9" w:rsidR="00254B09" w:rsidRDefault="00B06F14" w:rsidP="00254B09">
      <w:pPr>
        <w:rPr>
          <w:b/>
          <w:bCs/>
        </w:rPr>
      </w:pPr>
      <w:r>
        <w:rPr>
          <w:b/>
          <w:bCs/>
        </w:rPr>
        <w:t>3</w:t>
      </w:r>
      <w:r w:rsidR="00254B09" w:rsidRPr="00254B09">
        <w:rPr>
          <w:b/>
          <w:bCs/>
        </w:rPr>
        <w:t xml:space="preserve">. Speicherung der Aufnahme in die </w:t>
      </w:r>
      <w:r>
        <w:rPr>
          <w:b/>
          <w:bCs/>
        </w:rPr>
        <w:t>Versammlungsordnung</w:t>
      </w:r>
    </w:p>
    <w:p w14:paraId="6FF0A006" w14:textId="2F31D7F5" w:rsidR="007B59A2" w:rsidRPr="007803D8" w:rsidRDefault="007B59A2" w:rsidP="00254B09">
      <w:r>
        <w:rPr>
          <w:b/>
          <w:bCs/>
        </w:rPr>
        <w:t xml:space="preserve">Begründung: </w:t>
      </w:r>
      <w:r w:rsidRPr="007803D8">
        <w:t>Grundsätzlich wurde bereits von Aufnahme gesprochen, aber mit der Erwähnung wird die Speicherung explizit</w:t>
      </w:r>
    </w:p>
    <w:p w14:paraId="7C88DCA9" w14:textId="77777777" w:rsidR="007B59A2" w:rsidRPr="007803D8" w:rsidRDefault="007B59A2" w:rsidP="00254B09"/>
    <w:p w14:paraId="2FAC8310" w14:textId="000FFC93" w:rsidR="00254B09" w:rsidRDefault="00254B09" w:rsidP="00254B09">
      <w:pPr>
        <w:ind w:left="705" w:hanging="705"/>
      </w:pPr>
      <w:r>
        <w:t xml:space="preserve">Art. </w:t>
      </w:r>
      <w:r w:rsidR="00CF2045">
        <w:t>5</w:t>
      </w:r>
      <w:r>
        <w:t xml:space="preserve"> </w:t>
      </w:r>
      <w:r w:rsidR="00CF2045">
        <w:t xml:space="preserve">(Art. 6 bisher) </w:t>
      </w:r>
      <w:r>
        <w:t>Versammlung</w:t>
      </w:r>
      <w:r w:rsidR="00CF2045">
        <w:t xml:space="preserve"> </w:t>
      </w:r>
    </w:p>
    <w:p w14:paraId="082CBD8E" w14:textId="77777777" w:rsidR="00254B09" w:rsidRDefault="00254B09" w:rsidP="00254B09">
      <w:pPr>
        <w:ind w:left="705" w:hanging="705"/>
      </w:pPr>
      <w:bookmarkStart w:id="6" w:name="_Hlk161490226"/>
      <w:r>
        <w:lastRenderedPageBreak/>
        <w:t>1</w:t>
      </w:r>
      <w:r>
        <w:tab/>
        <w:t>Die Versammlung ist öffentlich und kann in Audio und Video übertragen und gespeichert werden.</w:t>
      </w:r>
    </w:p>
    <w:p w14:paraId="3770A1AA" w14:textId="77777777" w:rsidR="00254B09" w:rsidRDefault="00254B09" w:rsidP="00254B09">
      <w:r>
        <w:tab/>
        <w:t>Wer spricht oder sich in den Aufnahmebereich begibt, erklärt sein Einverständnis</w:t>
      </w:r>
    </w:p>
    <w:p w14:paraId="76F6CF9F" w14:textId="77777777" w:rsidR="00254B09" w:rsidRDefault="00254B09" w:rsidP="00254B09">
      <w:r>
        <w:tab/>
        <w:t>mit der Publikation der Aufnahme.</w:t>
      </w:r>
    </w:p>
    <w:bookmarkEnd w:id="6"/>
    <w:p w14:paraId="38E8258D" w14:textId="77777777" w:rsidR="00254B09" w:rsidRDefault="00254B09" w:rsidP="00A8672E"/>
    <w:sectPr w:rsidR="00254B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F2400"/>
    <w:multiLevelType w:val="hybridMultilevel"/>
    <w:tmpl w:val="DBDC40B8"/>
    <w:lvl w:ilvl="0" w:tplc="CECAAD54">
      <w:start w:val="1"/>
      <w:numFmt w:val="bullet"/>
      <w:lvlText w:val="-"/>
      <w:lvlJc w:val="left"/>
      <w:pPr>
        <w:ind w:left="720" w:hanging="360"/>
      </w:pPr>
      <w:rPr>
        <w:rFonts w:ascii="Liberation Serif" w:eastAsia="Noto Serif CJK SC" w:hAnsi="Liberation Serif" w:cs="Noto Sans Devanaga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419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68"/>
    <w:rsid w:val="00001153"/>
    <w:rsid w:val="000C600E"/>
    <w:rsid w:val="000E6968"/>
    <w:rsid w:val="00254B09"/>
    <w:rsid w:val="004F12A2"/>
    <w:rsid w:val="007803D8"/>
    <w:rsid w:val="007B59A2"/>
    <w:rsid w:val="00947FF0"/>
    <w:rsid w:val="009905F1"/>
    <w:rsid w:val="00A6074F"/>
    <w:rsid w:val="00A8672E"/>
    <w:rsid w:val="00B06F14"/>
    <w:rsid w:val="00C42328"/>
    <w:rsid w:val="00CF2045"/>
    <w:rsid w:val="00EA2D66"/>
    <w:rsid w:val="00F0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935B05"/>
  <w15:chartTrackingRefBased/>
  <w15:docId w15:val="{358C9105-6D63-4DBB-ABF0-9B209BEF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6968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Noto Sans Devanagari"/>
      <w:kern w:val="3"/>
      <w:sz w:val="24"/>
      <w:szCs w:val="24"/>
      <w:lang w:eastAsia="zh-CN" w:bidi="hi-IN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6968"/>
    <w:pPr>
      <w:keepNext/>
      <w:keepLines/>
      <w:suppressAutoHyphens w:val="0"/>
      <w:autoSpaceDN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 w:bidi="ar-SA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E6968"/>
    <w:pPr>
      <w:keepNext/>
      <w:keepLines/>
      <w:suppressAutoHyphens w:val="0"/>
      <w:autoSpaceDN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 w:bidi="ar-SA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E6968"/>
    <w:pPr>
      <w:keepNext/>
      <w:keepLines/>
      <w:suppressAutoHyphens w:val="0"/>
      <w:autoSpaceDN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 w:bidi="ar-SA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E6968"/>
    <w:pPr>
      <w:keepNext/>
      <w:keepLines/>
      <w:suppressAutoHyphens w:val="0"/>
      <w:autoSpaceDN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E6968"/>
    <w:pPr>
      <w:keepNext/>
      <w:keepLines/>
      <w:suppressAutoHyphens w:val="0"/>
      <w:autoSpaceDN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E6968"/>
    <w:pPr>
      <w:keepNext/>
      <w:keepLines/>
      <w:suppressAutoHyphens w:val="0"/>
      <w:autoSpaceDN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 w:bidi="ar-SA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E6968"/>
    <w:pPr>
      <w:keepNext/>
      <w:keepLines/>
      <w:suppressAutoHyphens w:val="0"/>
      <w:autoSpaceDN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 w:bidi="ar-SA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6968"/>
    <w:pPr>
      <w:keepNext/>
      <w:keepLines/>
      <w:suppressAutoHyphens w:val="0"/>
      <w:autoSpaceDN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 w:bidi="ar-SA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6968"/>
    <w:pPr>
      <w:keepNext/>
      <w:keepLines/>
      <w:suppressAutoHyphens w:val="0"/>
      <w:autoSpaceDN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 w:bidi="ar-SA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E69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E69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69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E6968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E6968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E6968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6968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6968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696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0E6968"/>
    <w:pPr>
      <w:suppressAutoHyphens w:val="0"/>
      <w:autoSpaceDN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0E69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E6968"/>
    <w:pPr>
      <w:numPr>
        <w:ilvl w:val="1"/>
      </w:numPr>
      <w:suppressAutoHyphens w:val="0"/>
      <w:autoSpaceDN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 w:bidi="ar-SA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E69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E6968"/>
    <w:pPr>
      <w:suppressAutoHyphens w:val="0"/>
      <w:autoSpaceDN/>
      <w:spacing w:before="160" w:after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 w:bidi="ar-SA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0E696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0E696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0E6968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E69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E6968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E696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Sigg</dc:creator>
  <cp:keywords/>
  <dc:description/>
  <cp:lastModifiedBy>Renato Sigg</cp:lastModifiedBy>
  <cp:revision>6</cp:revision>
  <dcterms:created xsi:type="dcterms:W3CDTF">2024-03-16T11:21:00Z</dcterms:created>
  <dcterms:modified xsi:type="dcterms:W3CDTF">2024-03-16T14:56:00Z</dcterms:modified>
</cp:coreProperties>
</file>